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Look w:val="04A0" w:firstRow="1" w:lastRow="0" w:firstColumn="1" w:lastColumn="0" w:noHBand="0" w:noVBand="1"/>
      </w:tblPr>
      <w:tblGrid>
        <w:gridCol w:w="5747"/>
        <w:gridCol w:w="4048"/>
        <w:gridCol w:w="1725"/>
      </w:tblGrid>
      <w:tr w:rsidR="00000000">
        <w:trPr>
          <w:tblCellSpacing w:w="15" w:type="dxa"/>
        </w:trPr>
        <w:tc>
          <w:tcPr>
            <w:tcW w:w="0" w:type="auto"/>
            <w:tcMar>
              <w:top w:w="15" w:type="dxa"/>
              <w:left w:w="15" w:type="dxa"/>
              <w:bottom w:w="15" w:type="dxa"/>
              <w:right w:w="15" w:type="dxa"/>
            </w:tcMar>
            <w:vAlign w:val="center"/>
            <w:hideMark/>
          </w:tcPr>
          <w:p w:rsidR="00000000" w:rsidRDefault="00C4412D">
            <w:pPr>
              <w:spacing w:after="0" w:line="240" w:lineRule="auto"/>
              <w:rPr>
                <w:rFonts w:ascii="Goudy Old Style" w:hAnsi="Goudy Old Style" w:cs="Arial"/>
                <w:color w:val="FF0000"/>
                <w:sz w:val="60"/>
                <w:szCs w:val="60"/>
              </w:rPr>
            </w:pPr>
            <w:r>
              <w:rPr>
                <w:noProof/>
              </w:rPr>
              <w:drawing>
                <wp:anchor distT="0" distB="0" distL="114300" distR="114300" simplePos="0" relativeHeight="251657728" behindDoc="1" locked="0" layoutInCell="1" allowOverlap="1">
                  <wp:simplePos x="0" y="0"/>
                  <wp:positionH relativeFrom="column">
                    <wp:posOffset>-693420</wp:posOffset>
                  </wp:positionH>
                  <wp:positionV relativeFrom="paragraph">
                    <wp:posOffset>-67945</wp:posOffset>
                  </wp:positionV>
                  <wp:extent cx="556260" cy="556260"/>
                  <wp:effectExtent l="0" t="0" r="0" b="0"/>
                  <wp:wrapTight wrapText="bothSides">
                    <wp:wrapPolygon edited="0">
                      <wp:start x="0" y="0"/>
                      <wp:lineTo x="0" y="20712"/>
                      <wp:lineTo x="20712" y="20712"/>
                      <wp:lineTo x="2071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pic:spPr>
                      </pic:pic>
                    </a:graphicData>
                  </a:graphic>
                  <wp14:sizeRelH relativeFrom="page">
                    <wp14:pctWidth>0</wp14:pctWidth>
                  </wp14:sizeRelH>
                  <wp14:sizeRelV relativeFrom="page">
                    <wp14:pctHeight>0</wp14:pctHeight>
                  </wp14:sizeRelV>
                </wp:anchor>
              </w:drawing>
            </w:r>
            <w:r>
              <w:rPr>
                <w:rFonts w:ascii="Goudy Old Style" w:hAnsi="Goudy Old Style" w:cs="Arial"/>
                <w:b/>
                <w:bCs/>
                <w:sz w:val="60"/>
                <w:szCs w:val="60"/>
              </w:rPr>
              <w:t xml:space="preserve">NOTICE 2026 </w:t>
            </w:r>
          </w:p>
        </w:tc>
        <w:tc>
          <w:tcPr>
            <w:tcW w:w="1767" w:type="pct"/>
            <w:tcMar>
              <w:top w:w="15" w:type="dxa"/>
              <w:left w:w="15" w:type="dxa"/>
              <w:bottom w:w="15" w:type="dxa"/>
              <w:right w:w="15" w:type="dxa"/>
            </w:tcMar>
            <w:vAlign w:val="center"/>
            <w:hideMark/>
          </w:tcPr>
          <w:p w:rsidR="00000000" w:rsidRDefault="00C4412D">
            <w:pPr>
              <w:pStyle w:val="NormalWeb"/>
              <w:spacing w:after="0" w:afterAutospacing="0"/>
              <w:rPr>
                <w:rFonts w:ascii="Calibri" w:hAnsi="Calibri" w:cs="Calibri"/>
                <w:sz w:val="20"/>
                <w:szCs w:val="20"/>
              </w:rPr>
            </w:pPr>
            <w:r>
              <w:rPr>
                <w:rFonts w:ascii="Calibri" w:hAnsi="Calibri" w:cs="Calibri"/>
                <w:sz w:val="20"/>
                <w:szCs w:val="20"/>
              </w:rPr>
              <w:t>PLM Lake and Land Management Corp</w:t>
            </w:r>
            <w:r>
              <w:rPr>
                <w:rFonts w:ascii="Calibri" w:hAnsi="Calibri" w:cs="Calibri"/>
                <w:sz w:val="20"/>
                <w:szCs w:val="20"/>
              </w:rPr>
              <w:br/>
              <w:t>8865 100th St. SE, Alto, MI 49302</w:t>
            </w:r>
            <w:r>
              <w:rPr>
                <w:rFonts w:ascii="Calibri" w:hAnsi="Calibri" w:cs="Calibri"/>
                <w:sz w:val="20"/>
                <w:szCs w:val="20"/>
              </w:rPr>
              <w:br/>
              <w:t xml:space="preserve">(616) 891-1294(o) (616) 891-0371(f) </w:t>
            </w:r>
            <w:r>
              <w:rPr>
                <w:rFonts w:ascii="Calibri" w:hAnsi="Calibri" w:cs="Calibri"/>
                <w:sz w:val="20"/>
                <w:szCs w:val="20"/>
              </w:rPr>
              <w:br/>
              <w:t>www.plmcorp.net</w:t>
            </w:r>
          </w:p>
          <w:p w:rsidR="00000000" w:rsidRDefault="00C4412D">
            <w:pPr>
              <w:spacing w:after="0" w:line="240" w:lineRule="auto"/>
              <w:rPr>
                <w:rFonts w:ascii="Open Sans SemiBold" w:hAnsi="Open Sans SemiBold" w:cs="Open Sans SemiBold"/>
                <w:sz w:val="20"/>
                <w:szCs w:val="20"/>
              </w:rPr>
            </w:pPr>
          </w:p>
        </w:tc>
        <w:tc>
          <w:tcPr>
            <w:tcW w:w="727" w:type="pct"/>
            <w:tcMar>
              <w:top w:w="15" w:type="dxa"/>
              <w:left w:w="15" w:type="dxa"/>
              <w:bottom w:w="15" w:type="dxa"/>
              <w:right w:w="15" w:type="dxa"/>
            </w:tcMar>
            <w:vAlign w:val="center"/>
            <w:hideMark/>
          </w:tcPr>
          <w:p w:rsidR="00000000" w:rsidRDefault="00C4412D">
            <w:pPr>
              <w:spacing w:after="0" w:line="240" w:lineRule="auto"/>
              <w:jc w:val="center"/>
              <w:rPr>
                <w:rFonts w:ascii="Arial" w:hAnsi="Arial" w:cs="Arial"/>
                <w:sz w:val="24"/>
                <w:szCs w:val="24"/>
              </w:rPr>
            </w:pPr>
            <w:r>
              <w:rPr>
                <w:rFonts w:ascii="Arial" w:hAnsi="Arial" w:cs="Arial"/>
                <w:noProof/>
                <w:sz w:val="24"/>
                <w:szCs w:val="24"/>
              </w:rPr>
              <w:drawing>
                <wp:inline distT="0" distB="0" distL="0" distR="0">
                  <wp:extent cx="1047750" cy="1047750"/>
                  <wp:effectExtent l="0" t="0" r="0" b="0"/>
                  <wp:docPr id="1" name="Picture 1" descr="Description: Description: Description: Description: Description: Description: Description: Description: Description: Description: Description: Description: Description: @BaseURL/images/plm-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BaseURL/images/plm-logo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r>
    </w:tbl>
    <w:p w:rsidR="00000000" w:rsidRDefault="00C4412D">
      <w:pPr>
        <w:pStyle w:val="msonormal2"/>
        <w:spacing w:after="0" w:line="240" w:lineRule="auto"/>
        <w:jc w:val="center"/>
        <w:divId w:val="1654524660"/>
        <w:rPr>
          <w:rFonts w:ascii="Open Sans SemiBold" w:hAnsi="Open Sans SemiBold" w:cs="Open Sans SemiBold"/>
          <w:sz w:val="20"/>
          <w:szCs w:val="20"/>
        </w:rPr>
      </w:pPr>
      <w:r>
        <w:rPr>
          <w:rFonts w:ascii="Open Sans SemiBold" w:hAnsi="Open Sans SemiBold" w:cs="Open Sans SemiBold"/>
          <w:b/>
          <w:bCs/>
          <w:sz w:val="20"/>
          <w:szCs w:val="20"/>
        </w:rPr>
        <w:t>Three Mile Lake </w:t>
      </w:r>
      <w:r>
        <w:rPr>
          <w:rStyle w:val="style41"/>
          <w:rFonts w:ascii="Open Sans SemiBold" w:hAnsi="Open Sans SemiBold" w:cs="Open Sans SemiBold"/>
        </w:rPr>
        <w:t xml:space="preserve">has been scheduled for the </w:t>
      </w:r>
      <w:r>
        <w:rPr>
          <w:rStyle w:val="Strong"/>
          <w:rFonts w:ascii="Open Sans SemiBold" w:hAnsi="Open Sans SemiBold" w:cs="Open Sans SemiBold"/>
          <w:sz w:val="20"/>
          <w:szCs w:val="20"/>
          <w:u w:val="single"/>
        </w:rPr>
        <w:t>week</w:t>
      </w:r>
      <w:r>
        <w:rPr>
          <w:rStyle w:val="style41"/>
          <w:rFonts w:ascii="Open Sans SemiBold" w:hAnsi="Open Sans SemiBold" w:cs="Open Sans SemiBold"/>
        </w:rPr>
        <w:t xml:space="preserve"> of:</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6"/>
        <w:gridCol w:w="2096"/>
        <w:gridCol w:w="776"/>
        <w:gridCol w:w="3422"/>
      </w:tblGrid>
      <w:tr w:rsidR="00000000">
        <w:trPr>
          <w:divId w:val="1654524660"/>
          <w:tblCellSpacing w:w="15"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b/>
                <w:bCs/>
              </w:rPr>
            </w:pPr>
            <w:r>
              <w:rPr>
                <w:rFonts w:ascii="Arial" w:hAnsi="Arial" w:cs="Arial"/>
                <w:b/>
                <w:bCs/>
              </w:rPr>
              <w:t>Date</w:t>
            </w:r>
          </w:p>
        </w:tc>
        <w:tc>
          <w:tcPr>
            <w:tcW w:w="0" w:type="auto"/>
            <w:tcBorders>
              <w:top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b/>
                <w:bCs/>
              </w:rPr>
            </w:pPr>
            <w:r>
              <w:rPr>
                <w:rFonts w:ascii="Arial" w:hAnsi="Arial" w:cs="Arial"/>
                <w:b/>
                <w:bCs/>
              </w:rPr>
              <w:t>Description</w:t>
            </w:r>
          </w:p>
        </w:tc>
        <w:tc>
          <w:tcPr>
            <w:tcW w:w="0" w:type="auto"/>
            <w:tcBorders>
              <w:top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b/>
                <w:bCs/>
              </w:rPr>
            </w:pPr>
            <w:r>
              <w:rPr>
                <w:rFonts w:ascii="Arial" w:hAnsi="Arial" w:cs="Arial"/>
                <w:b/>
                <w:bCs/>
              </w:rPr>
              <w:t>Date</w:t>
            </w:r>
          </w:p>
        </w:tc>
        <w:tc>
          <w:tcPr>
            <w:tcW w:w="0" w:type="auto"/>
            <w:tcBorders>
              <w:top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b/>
                <w:bCs/>
              </w:rPr>
            </w:pPr>
            <w:r>
              <w:rPr>
                <w:rFonts w:ascii="Arial" w:hAnsi="Arial" w:cs="Arial"/>
                <w:b/>
                <w:bCs/>
              </w:rPr>
              <w:t>Description</w:t>
            </w:r>
          </w:p>
        </w:tc>
      </w:tr>
      <w:tr w:rsidR="00000000">
        <w:trPr>
          <w:divId w:val="1654524660"/>
          <w:tblCellSpacing w:w="15" w:type="dxa"/>
          <w:jc w:val="center"/>
        </w:trPr>
        <w:tc>
          <w:tcPr>
            <w:tcW w:w="0" w:type="auto"/>
            <w:tcBorders>
              <w:left w:val="single" w:sz="6" w:space="0" w:color="000000"/>
              <w:bottom w:val="single" w:sz="6" w:space="0" w:color="000000"/>
              <w:right w:val="single" w:sz="6" w:space="0" w:color="000000"/>
            </w:tcBorders>
            <w:vAlign w:val="center"/>
            <w:hideMark/>
          </w:tcPr>
          <w:p w:rsidR="00000000" w:rsidRDefault="00C4412D">
            <w:pPr>
              <w:spacing w:after="0" w:line="240" w:lineRule="auto"/>
              <w:jc w:val="center"/>
              <w:rPr>
                <w:rFonts w:ascii="Arial" w:hAnsi="Arial" w:cs="Arial"/>
              </w:rPr>
            </w:pPr>
            <w:r>
              <w:rPr>
                <w:rFonts w:ascii="Arial" w:hAnsi="Arial" w:cs="Arial"/>
              </w:rPr>
              <w:t>4/13/2026</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rPr>
            </w:pPr>
            <w:r>
              <w:rPr>
                <w:rFonts w:ascii="Arial" w:hAnsi="Arial" w:cs="Arial"/>
              </w:rPr>
              <w:t>Water Quality</w:t>
            </w:r>
          </w:p>
        </w:tc>
        <w:tc>
          <w:tcPr>
            <w:tcW w:w="0" w:type="auto"/>
            <w:tcBorders>
              <w:bottom w:val="single" w:sz="6" w:space="0" w:color="000000"/>
              <w:right w:val="single" w:sz="6" w:space="0" w:color="000000"/>
            </w:tcBorders>
            <w:vAlign w:val="center"/>
            <w:hideMark/>
          </w:tcPr>
          <w:p w:rsidR="00000000" w:rsidRDefault="00C4412D">
            <w:pPr>
              <w:spacing w:after="0" w:line="240" w:lineRule="auto"/>
              <w:jc w:val="center"/>
              <w:rPr>
                <w:rFonts w:ascii="Arial" w:hAnsi="Arial" w:cs="Arial"/>
              </w:rPr>
            </w:pPr>
            <w:r>
              <w:rPr>
                <w:rFonts w:ascii="Arial" w:hAnsi="Arial" w:cs="Arial"/>
              </w:rPr>
              <w:t>7/6/2026</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rPr>
            </w:pPr>
            <w:r>
              <w:rPr>
                <w:rFonts w:ascii="Arial" w:hAnsi="Arial" w:cs="Arial"/>
              </w:rPr>
              <w:t>Weed &amp; Algae Treatment &amp; E.coli</w:t>
            </w:r>
          </w:p>
        </w:tc>
      </w:tr>
      <w:tr w:rsidR="00000000">
        <w:trPr>
          <w:divId w:val="1654524660"/>
          <w:tblCellSpacing w:w="15" w:type="dxa"/>
          <w:jc w:val="center"/>
        </w:trPr>
        <w:tc>
          <w:tcPr>
            <w:tcW w:w="0" w:type="auto"/>
            <w:tcBorders>
              <w:left w:val="single" w:sz="6" w:space="0" w:color="000000"/>
              <w:bottom w:val="single" w:sz="6" w:space="0" w:color="000000"/>
              <w:right w:val="single" w:sz="6" w:space="0" w:color="000000"/>
            </w:tcBorders>
            <w:vAlign w:val="center"/>
            <w:hideMark/>
          </w:tcPr>
          <w:p w:rsidR="00000000" w:rsidRDefault="00C4412D">
            <w:pPr>
              <w:spacing w:after="0" w:line="240" w:lineRule="auto"/>
              <w:jc w:val="center"/>
              <w:rPr>
                <w:rFonts w:ascii="Arial" w:hAnsi="Arial" w:cs="Arial"/>
              </w:rPr>
            </w:pPr>
            <w:r>
              <w:rPr>
                <w:rFonts w:ascii="Arial" w:hAnsi="Arial" w:cs="Arial"/>
              </w:rPr>
              <w:t>5/11/2026</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rPr>
            </w:pPr>
            <w:r>
              <w:rPr>
                <w:rFonts w:ascii="Arial" w:hAnsi="Arial" w:cs="Arial"/>
              </w:rPr>
              <w:t>Survey</w:t>
            </w:r>
          </w:p>
        </w:tc>
        <w:tc>
          <w:tcPr>
            <w:tcW w:w="0" w:type="auto"/>
            <w:tcBorders>
              <w:bottom w:val="single" w:sz="6" w:space="0" w:color="000000"/>
              <w:right w:val="single" w:sz="6" w:space="0" w:color="000000"/>
            </w:tcBorders>
            <w:vAlign w:val="center"/>
            <w:hideMark/>
          </w:tcPr>
          <w:p w:rsidR="00000000" w:rsidRDefault="00C4412D">
            <w:pPr>
              <w:spacing w:after="0" w:line="240" w:lineRule="auto"/>
              <w:jc w:val="center"/>
              <w:rPr>
                <w:rFonts w:ascii="Arial" w:hAnsi="Arial" w:cs="Arial"/>
              </w:rPr>
            </w:pPr>
            <w:r>
              <w:rPr>
                <w:rFonts w:ascii="Arial" w:hAnsi="Arial" w:cs="Arial"/>
              </w:rPr>
              <w:t>8/3/2026</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rPr>
            </w:pPr>
            <w:r>
              <w:rPr>
                <w:rFonts w:ascii="Arial" w:hAnsi="Arial" w:cs="Arial"/>
              </w:rPr>
              <w:t>Weed &amp; Algae Treatment &amp; Water Quality</w:t>
            </w:r>
          </w:p>
        </w:tc>
      </w:tr>
      <w:tr w:rsidR="00000000">
        <w:trPr>
          <w:divId w:val="1654524660"/>
          <w:tblCellSpacing w:w="15" w:type="dxa"/>
          <w:jc w:val="center"/>
        </w:trPr>
        <w:tc>
          <w:tcPr>
            <w:tcW w:w="0" w:type="auto"/>
            <w:tcBorders>
              <w:left w:val="single" w:sz="6" w:space="0" w:color="000000"/>
              <w:bottom w:val="single" w:sz="6" w:space="0" w:color="000000"/>
              <w:right w:val="single" w:sz="6" w:space="0" w:color="000000"/>
            </w:tcBorders>
            <w:vAlign w:val="center"/>
            <w:hideMark/>
          </w:tcPr>
          <w:p w:rsidR="00000000" w:rsidRDefault="00C4412D">
            <w:pPr>
              <w:spacing w:after="0" w:line="240" w:lineRule="auto"/>
              <w:jc w:val="center"/>
              <w:rPr>
                <w:rFonts w:ascii="Arial" w:hAnsi="Arial" w:cs="Arial"/>
              </w:rPr>
            </w:pPr>
            <w:r>
              <w:rPr>
                <w:rFonts w:ascii="Arial" w:hAnsi="Arial" w:cs="Arial"/>
              </w:rPr>
              <w:t>5/11/2026</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rPr>
            </w:pPr>
            <w:r>
              <w:rPr>
                <w:rFonts w:ascii="Arial" w:hAnsi="Arial" w:cs="Arial"/>
              </w:rPr>
              <w:t>Weed &amp; Algae Treatment</w:t>
            </w:r>
          </w:p>
        </w:tc>
        <w:tc>
          <w:tcPr>
            <w:tcW w:w="0" w:type="auto"/>
            <w:tcBorders>
              <w:bottom w:val="single" w:sz="6" w:space="0" w:color="000000"/>
              <w:right w:val="single" w:sz="6" w:space="0" w:color="000000"/>
            </w:tcBorders>
            <w:vAlign w:val="center"/>
            <w:hideMark/>
          </w:tcPr>
          <w:p w:rsidR="00000000" w:rsidRDefault="00C4412D">
            <w:pPr>
              <w:spacing w:after="0" w:line="240" w:lineRule="auto"/>
              <w:jc w:val="center"/>
              <w:rPr>
                <w:rFonts w:ascii="Arial" w:hAnsi="Arial" w:cs="Arial"/>
              </w:rPr>
            </w:pPr>
            <w:r>
              <w:rPr>
                <w:rFonts w:ascii="Arial" w:hAnsi="Arial" w:cs="Arial"/>
              </w:rPr>
              <w:t>9/7/2026</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rPr>
            </w:pPr>
            <w:r>
              <w:rPr>
                <w:rFonts w:ascii="Arial" w:hAnsi="Arial" w:cs="Arial"/>
              </w:rPr>
              <w:t>AVAS Survey &amp; Weed &amp; Algae Optional</w:t>
            </w:r>
          </w:p>
        </w:tc>
      </w:tr>
      <w:tr w:rsidR="00000000">
        <w:trPr>
          <w:divId w:val="1654524660"/>
          <w:tblCellSpacing w:w="15" w:type="dxa"/>
          <w:jc w:val="center"/>
        </w:trPr>
        <w:tc>
          <w:tcPr>
            <w:tcW w:w="0" w:type="auto"/>
            <w:tcBorders>
              <w:left w:val="single" w:sz="6" w:space="0" w:color="000000"/>
              <w:bottom w:val="single" w:sz="6" w:space="0" w:color="000000"/>
              <w:right w:val="single" w:sz="6" w:space="0" w:color="000000"/>
            </w:tcBorders>
            <w:vAlign w:val="center"/>
            <w:hideMark/>
          </w:tcPr>
          <w:p w:rsidR="00000000" w:rsidRDefault="00C4412D">
            <w:pPr>
              <w:spacing w:after="0" w:line="240" w:lineRule="auto"/>
              <w:jc w:val="center"/>
              <w:rPr>
                <w:rFonts w:ascii="Arial" w:hAnsi="Arial" w:cs="Arial"/>
              </w:rPr>
            </w:pPr>
            <w:r>
              <w:rPr>
                <w:rFonts w:ascii="Arial" w:hAnsi="Arial" w:cs="Arial"/>
              </w:rPr>
              <w:t>6/8/2026</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rPr>
            </w:pPr>
            <w:r>
              <w:rPr>
                <w:rFonts w:ascii="Arial" w:hAnsi="Arial" w:cs="Arial"/>
              </w:rPr>
              <w:t>Weed &amp; Algae Treatment</w:t>
            </w:r>
          </w:p>
        </w:tc>
        <w:tc>
          <w:tcPr>
            <w:tcW w:w="0" w:type="auto"/>
            <w:vAlign w:val="center"/>
            <w:hideMark/>
          </w:tcPr>
          <w:p w:rsidR="00000000" w:rsidRDefault="00C4412D">
            <w:pPr>
              <w:spacing w:after="0" w:line="240" w:lineRule="auto"/>
              <w:rPr>
                <w:rFonts w:cs="Calibri"/>
                <w:sz w:val="20"/>
                <w:szCs w:val="20"/>
              </w:rPr>
            </w:pPr>
          </w:p>
        </w:tc>
        <w:tc>
          <w:tcPr>
            <w:tcW w:w="0" w:type="auto"/>
            <w:vAlign w:val="center"/>
            <w:hideMark/>
          </w:tcPr>
          <w:p w:rsidR="00000000" w:rsidRDefault="00C4412D">
            <w:pPr>
              <w:spacing w:after="0" w:line="240" w:lineRule="auto"/>
              <w:rPr>
                <w:rFonts w:cs="Calibri"/>
                <w:sz w:val="20"/>
                <w:szCs w:val="20"/>
              </w:rPr>
            </w:pPr>
          </w:p>
        </w:tc>
      </w:tr>
    </w:tbl>
    <w:p w:rsidR="00000000" w:rsidRDefault="00C4412D" w:rsidP="00077524">
      <w:pPr>
        <w:spacing w:after="0" w:line="240" w:lineRule="auto"/>
        <w:jc w:val="both"/>
        <w:rPr>
          <w:rFonts w:ascii="Calibri Light" w:hAnsi="Calibri Light" w:cs="Calibri Light"/>
        </w:rPr>
      </w:pPr>
      <w:r w:rsidRPr="00077524">
        <w:rPr>
          <w:rFonts w:ascii="Calibri Light" w:hAnsi="Calibri Light" w:cs="Calibri Light"/>
          <w:sz w:val="17"/>
          <w:szCs w:val="17"/>
        </w:rPr>
        <w:t xml:space="preserve">Property owners in </w:t>
      </w:r>
      <w:r w:rsidRPr="00077524">
        <w:rPr>
          <w:rFonts w:ascii="Calibri Light" w:hAnsi="Calibri Light" w:cs="Calibri Light"/>
          <w:sz w:val="17"/>
          <w:szCs w:val="17"/>
        </w:rPr>
        <w:t xml:space="preserve">this area are planning herbicide treatments to control nuisance weeds and/or algae. This notice is issued in accordance with Department of Environment, Great Lakes, and Energy (EGLE) procedures. EGLE permitting restrictions, national holidays, and weather </w:t>
      </w:r>
      <w:r w:rsidRPr="00077524">
        <w:rPr>
          <w:rFonts w:ascii="Calibri Light" w:hAnsi="Calibri Light" w:cs="Calibri Light"/>
          <w:sz w:val="17"/>
          <w:szCs w:val="17"/>
        </w:rPr>
        <w:t xml:space="preserve">conditions may affect the timing of treatments during the 2026 season. PLM schedules each waterbody treatment in coordination with your lake association, lake board, or residents. The treatment schedule is </w:t>
      </w:r>
      <w:r w:rsidRPr="00077524">
        <w:rPr>
          <w:rFonts w:ascii="Calibri Light" w:hAnsi="Calibri Light" w:cs="Calibri Light"/>
          <w:sz w:val="17"/>
          <w:szCs w:val="17"/>
          <w:u w:val="single"/>
        </w:rPr>
        <w:t>approximate</w:t>
      </w:r>
      <w:r w:rsidRPr="00077524">
        <w:rPr>
          <w:rFonts w:ascii="Calibri Light" w:hAnsi="Calibri Light" w:cs="Calibri Light"/>
          <w:sz w:val="17"/>
          <w:szCs w:val="17"/>
        </w:rPr>
        <w:t>. Please watch your shoreline for 8.5 1</w:t>
      </w:r>
      <w:r w:rsidRPr="00077524">
        <w:rPr>
          <w:rFonts w:ascii="Calibri Light" w:hAnsi="Calibri Light" w:cs="Calibri Light"/>
          <w:sz w:val="17"/>
          <w:szCs w:val="17"/>
        </w:rPr>
        <w:t xml:space="preserve">1-inch yellow or green signs, which will indicate the treatment date, the products used, and any restrictions on water use for swimming, irrigation, or other </w:t>
      </w:r>
      <w:proofErr w:type="spellStart"/>
      <w:r w:rsidRPr="00077524">
        <w:rPr>
          <w:rFonts w:ascii="Calibri Light" w:hAnsi="Calibri Light" w:cs="Calibri Light"/>
          <w:sz w:val="17"/>
          <w:szCs w:val="17"/>
        </w:rPr>
        <w:t>activities.</w:t>
      </w:r>
      <w:r w:rsidRPr="00077524">
        <w:rPr>
          <w:rFonts w:ascii="Calibri Light" w:hAnsi="Calibri Light" w:cs="Calibri Light"/>
          <w:sz w:val="17"/>
          <w:szCs w:val="17"/>
        </w:rPr>
        <w:t>The</w:t>
      </w:r>
      <w:proofErr w:type="spellEnd"/>
      <w:r w:rsidRPr="00077524">
        <w:rPr>
          <w:rFonts w:ascii="Calibri Light" w:hAnsi="Calibri Light" w:cs="Calibri Light"/>
          <w:sz w:val="17"/>
          <w:szCs w:val="17"/>
        </w:rPr>
        <w:t xml:space="preserve"> following is a list of herbicides that may be applied, along with their associated</w:t>
      </w:r>
      <w:r w:rsidRPr="00077524">
        <w:rPr>
          <w:rFonts w:ascii="Calibri Light" w:hAnsi="Calibri Light" w:cs="Calibri Light"/>
          <w:sz w:val="17"/>
          <w:szCs w:val="17"/>
        </w:rPr>
        <w:t xml:space="preserve"> use restrictions. On the day of treatment, signs will be posted along the shoreline within 100 feet of treated areas, specifying the products used and any applicable water use restrictions</w:t>
      </w:r>
      <w:r>
        <w:rPr>
          <w:rFonts w:ascii="Calibri Light" w:hAnsi="Calibri Light" w:cs="Calibri Light"/>
        </w:rPr>
        <w:t xml:space="preserve">. </w:t>
      </w:r>
    </w:p>
    <w:p w:rsidR="00000000" w:rsidRDefault="00C4412D">
      <w:pPr>
        <w:spacing w:after="0" w:line="240" w:lineRule="auto"/>
        <w:jc w:val="both"/>
        <w:rPr>
          <w:rFonts w:ascii="Calibri Light" w:hAnsi="Calibri Light" w:cs="Calibri Light"/>
          <w:bCs/>
        </w:rPr>
      </w:pPr>
      <w:r>
        <w:rPr>
          <w:rFonts w:ascii="Calibri Light" w:hAnsi="Calibri Light" w:cs="Calibri Light"/>
          <w:bCs/>
        </w:rPr>
        <w:t>N/A= Not Applicable        INDEF= Indefinite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0"/>
        <w:gridCol w:w="1555"/>
        <w:gridCol w:w="1663"/>
        <w:gridCol w:w="2599"/>
        <w:gridCol w:w="2122"/>
        <w:gridCol w:w="1965"/>
      </w:tblGrid>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Style w:val="Strong"/>
                <w:rFonts w:ascii="Arial" w:hAnsi="Arial" w:cs="Arial"/>
                <w:sz w:val="16"/>
                <w:szCs w:val="16"/>
              </w:rPr>
              <w:t>Chemical product/active ingredient</w:t>
            </w:r>
          </w:p>
        </w:tc>
        <w:tc>
          <w:tcPr>
            <w:tcW w:w="0" w:type="auto"/>
            <w:tcBorders>
              <w:top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Style w:val="Strong"/>
                <w:rFonts w:ascii="Arial" w:hAnsi="Arial" w:cs="Arial"/>
                <w:sz w:val="16"/>
                <w:szCs w:val="16"/>
              </w:rPr>
              <w:t>Chemical trade name</w:t>
            </w:r>
          </w:p>
        </w:tc>
        <w:tc>
          <w:tcPr>
            <w:tcW w:w="0" w:type="auto"/>
            <w:tcBorders>
              <w:top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Style w:val="Strong"/>
                <w:rFonts w:ascii="Arial" w:hAnsi="Arial" w:cs="Arial"/>
                <w:sz w:val="16"/>
                <w:szCs w:val="16"/>
              </w:rPr>
              <w:t>Do Not Use this water for swimming or bathing until</w:t>
            </w:r>
          </w:p>
        </w:tc>
        <w:tc>
          <w:tcPr>
            <w:tcW w:w="0" w:type="auto"/>
            <w:tcBorders>
              <w:top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Style w:val="Strong"/>
                <w:rFonts w:ascii="Arial" w:hAnsi="Arial" w:cs="Arial"/>
                <w:sz w:val="16"/>
                <w:szCs w:val="16"/>
              </w:rPr>
              <w:t>Do Not Use this water for ornamentals or turf irrigation until</w:t>
            </w:r>
          </w:p>
        </w:tc>
        <w:tc>
          <w:tcPr>
            <w:tcW w:w="0" w:type="auto"/>
            <w:tcBorders>
              <w:top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Style w:val="Strong"/>
                <w:rFonts w:ascii="Arial" w:hAnsi="Arial" w:cs="Arial"/>
                <w:sz w:val="16"/>
                <w:szCs w:val="16"/>
              </w:rPr>
              <w:t>Do Not Use this water for domestic purposes or agriculture irrigation until</w:t>
            </w:r>
          </w:p>
        </w:tc>
        <w:tc>
          <w:tcPr>
            <w:tcW w:w="0" w:type="auto"/>
            <w:tcBorders>
              <w:top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Style w:val="Strong"/>
                <w:rFonts w:ascii="Arial" w:hAnsi="Arial" w:cs="Arial"/>
                <w:sz w:val="16"/>
                <w:szCs w:val="16"/>
              </w:rPr>
              <w:t>Do Not Use this water for livestock watering or similar purposes until</w:t>
            </w:r>
          </w:p>
        </w:tc>
      </w:tr>
      <w:tr w:rsidR="00000000">
        <w:trPr>
          <w:tblCellSpacing w:w="15" w:type="dxa"/>
        </w:trPr>
        <w:tc>
          <w:tcPr>
            <w:tcW w:w="0" w:type="auto"/>
            <w:tcBorders>
              <w:left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Diquat Dibromide</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proofErr w:type="spellStart"/>
            <w:r>
              <w:rPr>
                <w:rFonts w:ascii="Arial" w:hAnsi="Arial" w:cs="Arial"/>
                <w:sz w:val="16"/>
                <w:szCs w:val="16"/>
              </w:rPr>
              <w:t>Alligare</w:t>
            </w:r>
            <w:proofErr w:type="spellEnd"/>
            <w:r>
              <w:rPr>
                <w:rFonts w:ascii="Arial" w:hAnsi="Arial" w:cs="Arial"/>
                <w:sz w:val="16"/>
                <w:szCs w:val="16"/>
              </w:rPr>
              <w:t xml:space="preserve"> Diquat, Tribune </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3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5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 Day(s)</w:t>
            </w:r>
          </w:p>
        </w:tc>
      </w:tr>
      <w:tr w:rsidR="00000000">
        <w:trPr>
          <w:tblCellSpacing w:w="15" w:type="dxa"/>
        </w:trPr>
        <w:tc>
          <w:tcPr>
            <w:tcW w:w="0" w:type="auto"/>
            <w:tcBorders>
              <w:left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Flumioxazin</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proofErr w:type="spellStart"/>
            <w:r>
              <w:rPr>
                <w:rFonts w:ascii="Arial" w:hAnsi="Arial" w:cs="Arial"/>
                <w:sz w:val="16"/>
                <w:szCs w:val="16"/>
              </w:rPr>
              <w:t>Flumigard</w:t>
            </w:r>
            <w:proofErr w:type="spellEnd"/>
            <w:r>
              <w:rPr>
                <w:rFonts w:ascii="Arial" w:hAnsi="Arial" w:cs="Arial"/>
                <w:sz w:val="16"/>
                <w:szCs w:val="16"/>
              </w:rPr>
              <w:t xml:space="preserve"> SC, Clipper, Propeller, Schooner </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3 Day</w:t>
            </w:r>
            <w:r>
              <w:rPr>
                <w:rFonts w:ascii="Arial" w:hAnsi="Arial" w:cs="Arial"/>
                <w:sz w:val="16"/>
                <w:szCs w:val="16"/>
              </w:rPr>
              <w:t>(s)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5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N/A</w:t>
            </w:r>
          </w:p>
        </w:tc>
      </w:tr>
      <w:tr w:rsidR="00000000">
        <w:trPr>
          <w:tblCellSpacing w:w="15" w:type="dxa"/>
        </w:trPr>
        <w:tc>
          <w:tcPr>
            <w:tcW w:w="0" w:type="auto"/>
            <w:tcBorders>
              <w:left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Endothall Diquat Dibromide</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Aqua Strike</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3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5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14 Day(s)</w:t>
            </w:r>
          </w:p>
        </w:tc>
      </w:tr>
      <w:tr w:rsidR="00000000">
        <w:trPr>
          <w:tblCellSpacing w:w="15" w:type="dxa"/>
        </w:trPr>
        <w:tc>
          <w:tcPr>
            <w:tcW w:w="0" w:type="auto"/>
            <w:tcBorders>
              <w:left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Glyphosate</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proofErr w:type="spellStart"/>
            <w:r>
              <w:rPr>
                <w:rFonts w:ascii="Arial" w:hAnsi="Arial" w:cs="Arial"/>
                <w:sz w:val="16"/>
                <w:szCs w:val="16"/>
              </w:rPr>
              <w:t>Aquaneat</w:t>
            </w:r>
            <w:proofErr w:type="spellEnd"/>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N/A</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N/A</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N/A</w:t>
            </w:r>
          </w:p>
        </w:tc>
      </w:tr>
      <w:tr w:rsidR="00000000">
        <w:trPr>
          <w:tblCellSpacing w:w="15" w:type="dxa"/>
        </w:trPr>
        <w:tc>
          <w:tcPr>
            <w:tcW w:w="0" w:type="auto"/>
            <w:tcBorders>
              <w:left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Endothall</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proofErr w:type="spellStart"/>
            <w:r>
              <w:rPr>
                <w:rFonts w:ascii="Arial" w:hAnsi="Arial" w:cs="Arial"/>
                <w:sz w:val="16"/>
                <w:szCs w:val="16"/>
              </w:rPr>
              <w:t>Aquathol</w:t>
            </w:r>
            <w:proofErr w:type="spellEnd"/>
            <w:r>
              <w:rPr>
                <w:rFonts w:ascii="Arial" w:hAnsi="Arial" w:cs="Arial"/>
                <w:sz w:val="16"/>
                <w:szCs w:val="16"/>
              </w:rPr>
              <w:t xml:space="preserve"> K, </w:t>
            </w:r>
            <w:proofErr w:type="spellStart"/>
            <w:r>
              <w:rPr>
                <w:rFonts w:ascii="Arial" w:hAnsi="Arial" w:cs="Arial"/>
                <w:sz w:val="16"/>
                <w:szCs w:val="16"/>
              </w:rPr>
              <w:t>Hydrothol</w:t>
            </w:r>
            <w:proofErr w:type="spellEnd"/>
            <w:r>
              <w:rPr>
                <w:rFonts w:ascii="Arial" w:hAnsi="Arial" w:cs="Arial"/>
                <w:sz w:val="16"/>
                <w:szCs w:val="16"/>
              </w:rPr>
              <w:t xml:space="preserve"> 191</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N/A</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14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14 Day(s)</w:t>
            </w:r>
          </w:p>
        </w:tc>
      </w:tr>
      <w:tr w:rsidR="00000000">
        <w:trPr>
          <w:tblCellSpacing w:w="15" w:type="dxa"/>
        </w:trPr>
        <w:tc>
          <w:tcPr>
            <w:tcW w:w="0" w:type="auto"/>
            <w:tcBorders>
              <w:left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Chelated Copper Herbicide</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proofErr w:type="spellStart"/>
            <w:r>
              <w:rPr>
                <w:rFonts w:ascii="Arial" w:hAnsi="Arial" w:cs="Arial"/>
                <w:sz w:val="16"/>
                <w:szCs w:val="16"/>
              </w:rPr>
              <w:t>Komeen</w:t>
            </w:r>
            <w:proofErr w:type="spellEnd"/>
            <w:r>
              <w:rPr>
                <w:rFonts w:ascii="Arial" w:hAnsi="Arial" w:cs="Arial"/>
                <w:sz w:val="16"/>
                <w:szCs w:val="16"/>
              </w:rPr>
              <w:t xml:space="preserve"> Descend, </w:t>
            </w:r>
            <w:proofErr w:type="spellStart"/>
            <w:r>
              <w:rPr>
                <w:rFonts w:ascii="Arial" w:hAnsi="Arial" w:cs="Arial"/>
                <w:sz w:val="16"/>
                <w:szCs w:val="16"/>
              </w:rPr>
              <w:t>Nautique</w:t>
            </w:r>
            <w:proofErr w:type="spellEnd"/>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N/A</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N/A</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N/A</w:t>
            </w:r>
          </w:p>
        </w:tc>
      </w:tr>
      <w:tr w:rsidR="00000000">
        <w:trPr>
          <w:tblCellSpacing w:w="15" w:type="dxa"/>
        </w:trPr>
        <w:tc>
          <w:tcPr>
            <w:tcW w:w="0" w:type="auto"/>
            <w:tcBorders>
              <w:left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proofErr w:type="spellStart"/>
            <w:r>
              <w:rPr>
                <w:rFonts w:ascii="Arial" w:hAnsi="Arial" w:cs="Arial"/>
                <w:sz w:val="16"/>
                <w:szCs w:val="16"/>
              </w:rPr>
              <w:t>Florpyrauxifen</w:t>
            </w:r>
            <w:proofErr w:type="spellEnd"/>
            <w:r>
              <w:rPr>
                <w:rFonts w:ascii="Arial" w:hAnsi="Arial" w:cs="Arial"/>
                <w:sz w:val="16"/>
                <w:szCs w:val="16"/>
              </w:rPr>
              <w:t>-Benzyl</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proofErr w:type="spellStart"/>
            <w:r>
              <w:rPr>
                <w:rFonts w:ascii="Arial" w:hAnsi="Arial" w:cs="Arial"/>
                <w:sz w:val="16"/>
                <w:szCs w:val="16"/>
              </w:rPr>
              <w:t>ProcellaCOR</w:t>
            </w:r>
            <w:proofErr w:type="spellEnd"/>
            <w:r>
              <w:rPr>
                <w:rFonts w:ascii="Arial" w:hAnsi="Arial" w:cs="Arial"/>
                <w:sz w:val="16"/>
                <w:szCs w:val="16"/>
              </w:rPr>
              <w:t xml:space="preserve"> EC 2x22</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Site-specific recommendation* No restriction for established turf/grasses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N/A on domestic; assay indicates no detect at the water intake</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N/A</w:t>
            </w:r>
          </w:p>
        </w:tc>
      </w:tr>
      <w:tr w:rsidR="00000000">
        <w:trPr>
          <w:tblCellSpacing w:w="15" w:type="dxa"/>
        </w:trPr>
        <w:tc>
          <w:tcPr>
            <w:tcW w:w="0" w:type="auto"/>
            <w:tcBorders>
              <w:left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Triclopyr liquid</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Renovate 3</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1 </w:t>
            </w:r>
            <w:r>
              <w:rPr>
                <w:rFonts w:ascii="Arial" w:hAnsi="Arial" w:cs="Arial"/>
                <w:sz w:val="16"/>
                <w:szCs w:val="16"/>
              </w:rPr>
              <w:t>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120 Day(s)</w:t>
            </w:r>
            <w:r>
              <w:rPr>
                <w:rFonts w:ascii="Arial" w:hAnsi="Arial" w:cs="Arial"/>
                <w:sz w:val="16"/>
                <w:szCs w:val="16"/>
              </w:rPr>
              <w:br/>
              <w:t>or until approved assay indicates 1ppb or less; No restriction for established turf/grasses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120 Day(s)</w:t>
            </w:r>
            <w:r>
              <w:rPr>
                <w:rFonts w:ascii="Arial" w:hAnsi="Arial" w:cs="Arial"/>
                <w:sz w:val="16"/>
                <w:szCs w:val="16"/>
              </w:rPr>
              <w:br/>
              <w:t>or until assay indicates 1ppb or less. N/A on domestic</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N/A</w:t>
            </w:r>
          </w:p>
        </w:tc>
      </w:tr>
      <w:tr w:rsidR="00000000">
        <w:trPr>
          <w:tblCellSpacing w:w="15" w:type="dxa"/>
        </w:trPr>
        <w:tc>
          <w:tcPr>
            <w:tcW w:w="0" w:type="auto"/>
            <w:tcBorders>
              <w:left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Triclopyr granular</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Renovate OTF</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Site-specific recommendation* No r</w:t>
            </w:r>
            <w:r>
              <w:rPr>
                <w:rFonts w:ascii="Arial" w:hAnsi="Arial" w:cs="Arial"/>
                <w:sz w:val="16"/>
                <w:szCs w:val="16"/>
              </w:rPr>
              <w:t>estriction for established turf/grasses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120 Day(s)</w:t>
            </w:r>
            <w:r>
              <w:rPr>
                <w:rFonts w:ascii="Arial" w:hAnsi="Arial" w:cs="Arial"/>
                <w:sz w:val="16"/>
                <w:szCs w:val="16"/>
              </w:rPr>
              <w:br/>
              <w:t>or until assay indicates 1ppb or less. N/A on domestic</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N/A</w:t>
            </w:r>
          </w:p>
        </w:tc>
      </w:tr>
      <w:tr w:rsidR="00000000">
        <w:trPr>
          <w:tblCellSpacing w:w="15" w:type="dxa"/>
        </w:trPr>
        <w:tc>
          <w:tcPr>
            <w:tcW w:w="0" w:type="auto"/>
            <w:tcBorders>
              <w:left w:val="single" w:sz="6" w:space="0" w:color="000000"/>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2,4-D amine Sculpin</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Sculpin G</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1 Day(s)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Site-specific recommendation* No restriction for established turf/grasses</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N/A on domestic; assay indicates levels under 100ppb at the water intake</w:t>
            </w:r>
          </w:p>
        </w:tc>
        <w:tc>
          <w:tcPr>
            <w:tcW w:w="0" w:type="auto"/>
            <w:tcBorders>
              <w:bottom w:val="single" w:sz="6" w:space="0" w:color="000000"/>
              <w:right w:val="single" w:sz="6" w:space="0" w:color="000000"/>
            </w:tcBorders>
            <w:vAlign w:val="center"/>
            <w:hideMark/>
          </w:tcPr>
          <w:p w:rsidR="00000000" w:rsidRDefault="00C4412D">
            <w:pPr>
              <w:spacing w:after="0" w:line="240" w:lineRule="auto"/>
              <w:rPr>
                <w:rFonts w:ascii="Arial" w:hAnsi="Arial" w:cs="Arial"/>
                <w:sz w:val="16"/>
                <w:szCs w:val="16"/>
              </w:rPr>
            </w:pPr>
            <w:r>
              <w:rPr>
                <w:rFonts w:ascii="Arial" w:hAnsi="Arial" w:cs="Arial"/>
                <w:sz w:val="16"/>
                <w:szCs w:val="16"/>
              </w:rPr>
              <w:t>N/A</w:t>
            </w:r>
          </w:p>
        </w:tc>
      </w:tr>
    </w:tbl>
    <w:p w:rsidR="00000000" w:rsidRDefault="00C4412D">
      <w:pPr>
        <w:spacing w:after="0" w:line="240" w:lineRule="auto"/>
        <w:rPr>
          <w:rFonts w:ascii="Calibri Light" w:hAnsi="Calibri Light" w:cs="Calibri Light"/>
        </w:rPr>
      </w:pPr>
    </w:p>
    <w:tbl>
      <w:tblPr>
        <w:tblW w:w="5000" w:type="pct"/>
        <w:tblCellSpacing w:w="15" w:type="dxa"/>
        <w:tblLook w:val="04A0" w:firstRow="1" w:lastRow="0" w:firstColumn="1" w:lastColumn="0" w:noHBand="0" w:noVBand="1"/>
      </w:tblPr>
      <w:tblGrid>
        <w:gridCol w:w="5630"/>
        <w:gridCol w:w="323"/>
        <w:gridCol w:w="5567"/>
      </w:tblGrid>
      <w:tr w:rsidR="00000000">
        <w:trPr>
          <w:tblCellSpacing w:w="15" w:type="dxa"/>
        </w:trPr>
        <w:tc>
          <w:tcPr>
            <w:tcW w:w="4974" w:type="pct"/>
            <w:gridSpan w:val="3"/>
            <w:tcMar>
              <w:top w:w="15" w:type="dxa"/>
              <w:left w:w="15" w:type="dxa"/>
              <w:bottom w:w="15" w:type="dxa"/>
              <w:right w:w="15" w:type="dxa"/>
            </w:tcMar>
            <w:vAlign w:val="center"/>
          </w:tcPr>
          <w:p w:rsidR="00000000" w:rsidRDefault="00C4412D">
            <w:pPr>
              <w:pStyle w:val="msonormal2"/>
              <w:spacing w:after="0" w:line="240" w:lineRule="auto"/>
              <w:rPr>
                <w:rStyle w:val="Strong"/>
                <w:bCs w:val="0"/>
                <w:sz w:val="18"/>
                <w:szCs w:val="18"/>
              </w:rPr>
            </w:pPr>
            <w:r>
              <w:rPr>
                <w:rFonts w:ascii="Calibri Light" w:hAnsi="Calibri Light" w:cs="Calibri Light"/>
                <w:bCs/>
              </w:rPr>
              <w:t>For a complete listing of all product labels, please see our website</w:t>
            </w:r>
            <w:r>
              <w:rPr>
                <w:rStyle w:val="Strong"/>
                <w:rFonts w:ascii="Calibri Light" w:hAnsi="Calibri Light" w:cs="Calibri Light"/>
                <w:bCs w:val="0"/>
                <w:sz w:val="18"/>
                <w:szCs w:val="18"/>
              </w:rPr>
              <w:t xml:space="preserve">. </w:t>
            </w:r>
            <w:r>
              <w:rPr>
                <w:rFonts w:ascii="Calibri Light" w:hAnsi="Calibri Light" w:cs="Calibri Light"/>
                <w:bCs/>
              </w:rPr>
              <w:t xml:space="preserve">Site-specific recommendations to limit ornamental irrigation with </w:t>
            </w:r>
            <w:proofErr w:type="spellStart"/>
            <w:r>
              <w:rPr>
                <w:rFonts w:ascii="Calibri Light" w:hAnsi="Calibri Light" w:cs="Calibri Light"/>
                <w:bCs/>
              </w:rPr>
              <w:t>ProcellaCOR</w:t>
            </w:r>
            <w:proofErr w:type="spellEnd"/>
            <w:r>
              <w:rPr>
                <w:rFonts w:ascii="Calibri Light" w:hAnsi="Calibri Light" w:cs="Calibri Light"/>
                <w:bCs/>
              </w:rPr>
              <w:t xml:space="preserve">, Renovate &amp; Sculpin granular </w:t>
            </w:r>
            <w:r>
              <w:rPr>
                <w:rFonts w:ascii="Calibri Light" w:hAnsi="Calibri Light" w:cs="Calibri Light"/>
                <w:bCs/>
              </w:rPr>
              <w:t>treated water will typically last 2-14 days. Contact PLM for further information.</w:t>
            </w:r>
            <w:r>
              <w:rPr>
                <w:rStyle w:val="Strong"/>
                <w:rFonts w:ascii="Calibri Light" w:hAnsi="Calibri Light" w:cs="Calibri Light"/>
                <w:bCs w:val="0"/>
                <w:sz w:val="18"/>
                <w:szCs w:val="18"/>
              </w:rPr>
              <w:t xml:space="preserve"> </w:t>
            </w:r>
          </w:p>
          <w:p w:rsidR="00000000" w:rsidRDefault="00C4412D">
            <w:pPr>
              <w:pStyle w:val="msonormal2"/>
              <w:spacing w:after="0" w:line="240" w:lineRule="auto"/>
              <w:rPr>
                <w:rStyle w:val="Strong"/>
                <w:rFonts w:asciiTheme="minorHAnsi" w:hAnsiTheme="minorHAnsi" w:cstheme="minorHAnsi"/>
                <w:bCs w:val="0"/>
                <w:sz w:val="6"/>
                <w:szCs w:val="6"/>
              </w:rPr>
            </w:pPr>
            <w:bookmarkStart w:id="0" w:name="_GoBack"/>
            <w:bookmarkEnd w:id="0"/>
          </w:p>
          <w:p w:rsidR="00000000" w:rsidRDefault="00C4412D">
            <w:pPr>
              <w:pStyle w:val="msonormal2"/>
              <w:spacing w:after="0"/>
              <w:rPr>
                <w:rFonts w:ascii="Calibri Light" w:hAnsi="Calibri Light" w:cs="Calibri Light"/>
                <w:bCs/>
              </w:rPr>
            </w:pPr>
            <w:r>
              <w:rPr>
                <w:rFonts w:ascii="Open Sans SemiBold" w:hAnsi="Open Sans SemiBold" w:cs="Open Sans SemiBold"/>
                <w:bCs/>
              </w:rPr>
              <w:t>Products With No Water Use Restrictions:</w:t>
            </w:r>
            <w:r>
              <w:rPr>
                <w:rFonts w:asciiTheme="minorHAnsi" w:hAnsiTheme="minorHAnsi" w:cstheme="minorHAnsi"/>
                <w:bCs/>
              </w:rPr>
              <w:t xml:space="preserve"> </w:t>
            </w:r>
            <w:r>
              <w:rPr>
                <w:rFonts w:ascii="Calibri Light" w:hAnsi="Calibri Light" w:cs="Calibri Light"/>
                <w:bCs/>
              </w:rPr>
              <w:t>When applied according to label directions and permit requirements, the following products do not require restrictions for swimming</w:t>
            </w:r>
            <w:r>
              <w:rPr>
                <w:rFonts w:ascii="Calibri Light" w:hAnsi="Calibri Light" w:cs="Calibri Light"/>
                <w:bCs/>
              </w:rPr>
              <w:t xml:space="preserve">, bathing, irrigation, domestic use, or livestock watering: PLM Blue, Cygnet Select, Aqua Shadow Black), copper-based herbicides (Copper Sulfate, </w:t>
            </w:r>
            <w:proofErr w:type="spellStart"/>
            <w:r>
              <w:rPr>
                <w:rFonts w:ascii="Calibri Light" w:hAnsi="Calibri Light" w:cs="Calibri Light"/>
                <w:bCs/>
              </w:rPr>
              <w:t>Cutrine</w:t>
            </w:r>
            <w:proofErr w:type="spellEnd"/>
            <w:r>
              <w:rPr>
                <w:rFonts w:ascii="Calibri Light" w:hAnsi="Calibri Light" w:cs="Calibri Light"/>
                <w:bCs/>
              </w:rPr>
              <w:t xml:space="preserve"> Plus-Ultra, Captain-XTR, </w:t>
            </w:r>
            <w:proofErr w:type="spellStart"/>
            <w:r>
              <w:rPr>
                <w:rFonts w:ascii="Calibri Light" w:hAnsi="Calibri Light" w:cs="Calibri Light"/>
                <w:bCs/>
              </w:rPr>
              <w:t>Earthtec</w:t>
            </w:r>
            <w:proofErr w:type="spellEnd"/>
            <w:r>
              <w:rPr>
                <w:rFonts w:ascii="Calibri Light" w:hAnsi="Calibri Light" w:cs="Calibri Light"/>
                <w:bCs/>
              </w:rPr>
              <w:t xml:space="preserve">, </w:t>
            </w:r>
            <w:proofErr w:type="spellStart"/>
            <w:r>
              <w:rPr>
                <w:rFonts w:ascii="Calibri Light" w:hAnsi="Calibri Light" w:cs="Calibri Light"/>
                <w:bCs/>
              </w:rPr>
              <w:t>SeClear</w:t>
            </w:r>
            <w:proofErr w:type="spellEnd"/>
            <w:r>
              <w:rPr>
                <w:rFonts w:ascii="Calibri Light" w:hAnsi="Calibri Light" w:cs="Calibri Light"/>
                <w:bCs/>
              </w:rPr>
              <w:t xml:space="preserve">, </w:t>
            </w:r>
            <w:proofErr w:type="spellStart"/>
            <w:r>
              <w:rPr>
                <w:rFonts w:ascii="Calibri Light" w:hAnsi="Calibri Light" w:cs="Calibri Light"/>
                <w:bCs/>
              </w:rPr>
              <w:t>SeClear</w:t>
            </w:r>
            <w:proofErr w:type="spellEnd"/>
            <w:r>
              <w:rPr>
                <w:rFonts w:ascii="Calibri Light" w:hAnsi="Calibri Light" w:cs="Calibri Light"/>
                <w:bCs/>
              </w:rPr>
              <w:t xml:space="preserve"> G, Formula F-30, K-Tea, </w:t>
            </w:r>
            <w:proofErr w:type="spellStart"/>
            <w:r>
              <w:rPr>
                <w:rFonts w:ascii="Calibri Light" w:hAnsi="Calibri Light" w:cs="Calibri Light"/>
                <w:bCs/>
              </w:rPr>
              <w:t>Komeen</w:t>
            </w:r>
            <w:proofErr w:type="spellEnd"/>
            <w:r>
              <w:rPr>
                <w:rFonts w:ascii="Calibri Light" w:hAnsi="Calibri Light" w:cs="Calibri Light"/>
                <w:bCs/>
              </w:rPr>
              <w:t xml:space="preserve"> Descend, Cygnet Plu</w:t>
            </w:r>
            <w:r>
              <w:rPr>
                <w:rFonts w:ascii="Calibri Light" w:hAnsi="Calibri Light" w:cs="Calibri Light"/>
                <w:bCs/>
              </w:rPr>
              <w:t>s), adjuvants and additives (</w:t>
            </w:r>
            <w:proofErr w:type="spellStart"/>
            <w:r>
              <w:rPr>
                <w:rFonts w:ascii="Calibri Light" w:hAnsi="Calibri Light" w:cs="Calibri Light"/>
                <w:bCs/>
              </w:rPr>
              <w:t>PolyAn</w:t>
            </w:r>
            <w:proofErr w:type="spellEnd"/>
            <w:r>
              <w:rPr>
                <w:rFonts w:ascii="Calibri Light" w:hAnsi="Calibri Light" w:cs="Calibri Light"/>
                <w:bCs/>
              </w:rPr>
              <w:t xml:space="preserve">, Pak 27, </w:t>
            </w:r>
            <w:proofErr w:type="spellStart"/>
            <w:r>
              <w:rPr>
                <w:rFonts w:ascii="Calibri Light" w:hAnsi="Calibri Light" w:cs="Calibri Light"/>
                <w:bCs/>
              </w:rPr>
              <w:t>AquaSticker</w:t>
            </w:r>
            <w:proofErr w:type="spellEnd"/>
            <w:r>
              <w:rPr>
                <w:rFonts w:ascii="Calibri Light" w:hAnsi="Calibri Light" w:cs="Calibri Light"/>
                <w:bCs/>
              </w:rPr>
              <w:t>), oxidizers (Green Clean L, Green Clean 5.0), enzymes and surfactants (</w:t>
            </w:r>
            <w:proofErr w:type="spellStart"/>
            <w:r>
              <w:rPr>
                <w:rFonts w:ascii="Calibri Light" w:hAnsi="Calibri Light" w:cs="Calibri Light"/>
                <w:bCs/>
              </w:rPr>
              <w:t>AquaPrep</w:t>
            </w:r>
            <w:proofErr w:type="spellEnd"/>
            <w:r>
              <w:rPr>
                <w:rFonts w:ascii="Calibri Light" w:hAnsi="Calibri Light" w:cs="Calibri Light"/>
                <w:bCs/>
              </w:rPr>
              <w:t>, PLM Enzyme), biological treatments (M.D. Pellets, Muck Biotics), and phosphorus-locking products (</w:t>
            </w:r>
            <w:proofErr w:type="spellStart"/>
            <w:r>
              <w:rPr>
                <w:rFonts w:ascii="Calibri Light" w:hAnsi="Calibri Light" w:cs="Calibri Light"/>
                <w:bCs/>
              </w:rPr>
              <w:t>Phoslock</w:t>
            </w:r>
            <w:proofErr w:type="spellEnd"/>
            <w:r>
              <w:rPr>
                <w:rFonts w:ascii="Calibri Light" w:hAnsi="Calibri Light" w:cs="Calibri Light"/>
                <w:bCs/>
              </w:rPr>
              <w:t xml:space="preserve">, </w:t>
            </w:r>
            <w:proofErr w:type="spellStart"/>
            <w:r>
              <w:rPr>
                <w:rFonts w:ascii="Calibri Light" w:hAnsi="Calibri Light" w:cs="Calibri Light"/>
                <w:bCs/>
              </w:rPr>
              <w:t>EutroSORB</w:t>
            </w:r>
            <w:proofErr w:type="spellEnd"/>
            <w:r>
              <w:rPr>
                <w:rFonts w:ascii="Calibri Light" w:hAnsi="Calibri Light" w:cs="Calibri Light"/>
                <w:bCs/>
              </w:rPr>
              <w:t xml:space="preserve"> </w:t>
            </w:r>
            <w:r>
              <w:rPr>
                <w:rFonts w:ascii="Calibri Light" w:hAnsi="Calibri Light" w:cs="Calibri Light"/>
                <w:bCs/>
              </w:rPr>
              <w:t xml:space="preserve">F, </w:t>
            </w:r>
            <w:proofErr w:type="spellStart"/>
            <w:r>
              <w:rPr>
                <w:rFonts w:ascii="Calibri Light" w:hAnsi="Calibri Light" w:cs="Calibri Light"/>
                <w:bCs/>
              </w:rPr>
              <w:t>EutroSORB</w:t>
            </w:r>
            <w:proofErr w:type="spellEnd"/>
            <w:r>
              <w:rPr>
                <w:rFonts w:ascii="Calibri Light" w:hAnsi="Calibri Light" w:cs="Calibri Light"/>
                <w:bCs/>
              </w:rPr>
              <w:t xml:space="preserve"> G, </w:t>
            </w:r>
            <w:proofErr w:type="spellStart"/>
            <w:r>
              <w:rPr>
                <w:rFonts w:ascii="Calibri Light" w:hAnsi="Calibri Light" w:cs="Calibri Light"/>
                <w:bCs/>
              </w:rPr>
              <w:t>EutroSORB</w:t>
            </w:r>
            <w:proofErr w:type="spellEnd"/>
            <w:r>
              <w:rPr>
                <w:rFonts w:ascii="Calibri Light" w:hAnsi="Calibri Light" w:cs="Calibri Light"/>
                <w:bCs/>
              </w:rPr>
              <w:t xml:space="preserve"> SI, </w:t>
            </w:r>
            <w:proofErr w:type="spellStart"/>
            <w:r>
              <w:rPr>
                <w:rFonts w:ascii="Calibri Light" w:hAnsi="Calibri Light" w:cs="Calibri Light"/>
                <w:bCs/>
              </w:rPr>
              <w:t>EutroSORB</w:t>
            </w:r>
            <w:proofErr w:type="spellEnd"/>
            <w:r>
              <w:rPr>
                <w:rFonts w:ascii="Calibri Light" w:hAnsi="Calibri Light" w:cs="Calibri Light"/>
                <w:bCs/>
              </w:rPr>
              <w:t xml:space="preserve"> WC).</w:t>
            </w:r>
          </w:p>
        </w:tc>
      </w:tr>
      <w:tr w:rsidR="00000000" w:rsidRPr="00077524">
        <w:trPr>
          <w:tblCellSpacing w:w="15" w:type="dxa"/>
        </w:trPr>
        <w:tc>
          <w:tcPr>
            <w:tcW w:w="2437" w:type="pct"/>
            <w:tcMar>
              <w:top w:w="15" w:type="dxa"/>
              <w:left w:w="15" w:type="dxa"/>
              <w:bottom w:w="15" w:type="dxa"/>
              <w:right w:w="15" w:type="dxa"/>
            </w:tcMar>
          </w:tcPr>
          <w:p w:rsidR="00000000" w:rsidRPr="00077524" w:rsidRDefault="00C4412D">
            <w:pPr>
              <w:pStyle w:val="msonormal2"/>
              <w:spacing w:after="0" w:line="240" w:lineRule="auto"/>
              <w:jc w:val="both"/>
              <w:rPr>
                <w:rFonts w:ascii="Calibri Light" w:hAnsi="Calibri Light" w:cs="Calibri Light"/>
                <w:sz w:val="15"/>
                <w:szCs w:val="15"/>
              </w:rPr>
            </w:pPr>
            <w:r w:rsidRPr="00077524">
              <w:rPr>
                <w:rFonts w:ascii="Calibri Light" w:hAnsi="Calibri Light" w:cs="Calibri Light"/>
                <w:sz w:val="15"/>
                <w:szCs w:val="15"/>
              </w:rPr>
              <w:t>The chemicals used for Aquatic Nuisance Control are registered by the U.S. Environmental Protection Agency and the Department of Environment, Great Lakes and Energy. The potential for damage to fish and other</w:t>
            </w:r>
            <w:r w:rsidRPr="00077524">
              <w:rPr>
                <w:rFonts w:ascii="Calibri Light" w:hAnsi="Calibri Light" w:cs="Calibri Light"/>
                <w:sz w:val="15"/>
                <w:szCs w:val="15"/>
              </w:rPr>
              <w:t xml:space="preserve"> non-target organisms is minimal provided that the product is used as directed on the product label and the permit. To minimize the possible effects on health and the environment, the treated water is restricted for the above purposes. </w:t>
            </w:r>
          </w:p>
          <w:p w:rsidR="00000000" w:rsidRPr="00077524" w:rsidRDefault="00C4412D">
            <w:pPr>
              <w:pStyle w:val="msonormal2"/>
              <w:spacing w:after="0" w:line="240" w:lineRule="auto"/>
              <w:jc w:val="both"/>
              <w:rPr>
                <w:rFonts w:ascii="Arial" w:hAnsi="Arial" w:cs="Arial"/>
                <w:sz w:val="15"/>
                <w:szCs w:val="15"/>
              </w:rPr>
            </w:pPr>
          </w:p>
          <w:p w:rsidR="00000000" w:rsidRPr="00077524" w:rsidRDefault="00C4412D">
            <w:pPr>
              <w:pStyle w:val="msonormal2"/>
              <w:spacing w:after="60" w:line="240" w:lineRule="auto"/>
              <w:ind w:right="-72"/>
              <w:rPr>
                <w:rFonts w:ascii="Open Sans Light" w:hAnsi="Open Sans Light" w:cs="Open Sans Light"/>
                <w:bCs/>
                <w:sz w:val="15"/>
                <w:szCs w:val="15"/>
              </w:rPr>
            </w:pPr>
            <w:r w:rsidRPr="00077524">
              <w:rPr>
                <w:rFonts w:ascii="Open Sans SemiBold" w:hAnsi="Open Sans SemiBold" w:cs="Open Sans SemiBold"/>
                <w:b/>
                <w:bCs/>
                <w:sz w:val="15"/>
                <w:szCs w:val="15"/>
              </w:rPr>
              <w:t>Method of Applicat</w:t>
            </w:r>
            <w:r w:rsidRPr="00077524">
              <w:rPr>
                <w:rFonts w:ascii="Open Sans SemiBold" w:hAnsi="Open Sans SemiBold" w:cs="Open Sans SemiBold"/>
                <w:b/>
                <w:bCs/>
                <w:sz w:val="15"/>
                <w:szCs w:val="15"/>
              </w:rPr>
              <w:t>ion:</w:t>
            </w:r>
            <w:r w:rsidRPr="00077524">
              <w:rPr>
                <w:rFonts w:ascii="Open Sans Light" w:hAnsi="Open Sans Light" w:cs="Open Sans Light"/>
                <w:bCs/>
                <w:sz w:val="15"/>
                <w:szCs w:val="15"/>
              </w:rPr>
              <w:t xml:space="preserve"> </w:t>
            </w:r>
            <w:r w:rsidRPr="00077524">
              <w:rPr>
                <w:rFonts w:ascii="Calibri Light" w:hAnsi="Calibri Light" w:cs="Calibri Light"/>
                <w:bCs/>
                <w:sz w:val="15"/>
                <w:szCs w:val="15"/>
              </w:rPr>
              <w:t>Chemical treatments may be applied by boat, backpack, or land vehicle. Liquid products will be applied by surface spray and/or injection, while granular products will be broadcast on the water surface.</w:t>
            </w:r>
          </w:p>
          <w:p w:rsidR="00000000" w:rsidRPr="00077524" w:rsidRDefault="00C4412D">
            <w:pPr>
              <w:pStyle w:val="msonormal2"/>
              <w:spacing w:after="0" w:line="240" w:lineRule="auto"/>
              <w:jc w:val="both"/>
              <w:rPr>
                <w:rFonts w:ascii="Arial" w:hAnsi="Arial" w:cs="Arial"/>
                <w:sz w:val="15"/>
                <w:szCs w:val="15"/>
              </w:rPr>
            </w:pPr>
          </w:p>
        </w:tc>
        <w:tc>
          <w:tcPr>
            <w:tcW w:w="128" w:type="pct"/>
            <w:vAlign w:val="center"/>
            <w:hideMark/>
          </w:tcPr>
          <w:p w:rsidR="00000000" w:rsidRPr="00077524" w:rsidRDefault="00C4412D">
            <w:pPr>
              <w:rPr>
                <w:rFonts w:ascii="Arial" w:hAnsi="Arial" w:cs="Arial"/>
                <w:sz w:val="15"/>
                <w:szCs w:val="15"/>
              </w:rPr>
            </w:pPr>
          </w:p>
        </w:tc>
        <w:tc>
          <w:tcPr>
            <w:tcW w:w="2383" w:type="pct"/>
            <w:tcMar>
              <w:top w:w="15" w:type="dxa"/>
              <w:left w:w="15" w:type="dxa"/>
              <w:bottom w:w="15" w:type="dxa"/>
              <w:right w:w="15" w:type="dxa"/>
            </w:tcMar>
            <w:hideMark/>
          </w:tcPr>
          <w:p w:rsidR="00000000" w:rsidRPr="00077524" w:rsidRDefault="00C4412D">
            <w:pPr>
              <w:rPr>
                <w:sz w:val="15"/>
                <w:szCs w:val="15"/>
              </w:rPr>
            </w:pPr>
            <w:r w:rsidRPr="00077524">
              <w:rPr>
                <w:rStyle w:val="Strong"/>
                <w:rFonts w:ascii="Open Sans SemiBold" w:hAnsi="Open Sans SemiBold" w:cs="Open Sans SemiBold"/>
                <w:sz w:val="15"/>
                <w:szCs w:val="15"/>
              </w:rPr>
              <w:t xml:space="preserve">PLM Lake &amp; Land Management </w:t>
            </w:r>
            <w:r w:rsidRPr="00077524">
              <w:rPr>
                <w:rStyle w:val="Strong"/>
                <w:rFonts w:ascii="Open Sans SemiBold" w:hAnsi="Open Sans SemiBold" w:cs="Open Sans SemiBold"/>
                <w:sz w:val="15"/>
                <w:szCs w:val="15"/>
              </w:rPr>
              <w:t>Corp. Certified Applicators:</w:t>
            </w:r>
            <w:r w:rsidRPr="00077524">
              <w:rPr>
                <w:sz w:val="15"/>
                <w:szCs w:val="15"/>
              </w:rPr>
              <w:t xml:space="preserve"> </w:t>
            </w:r>
            <w:r w:rsidRPr="00077524">
              <w:rPr>
                <w:rStyle w:val="style51"/>
                <w:rFonts w:ascii="Calibri Light" w:hAnsi="Calibri Light" w:cs="Calibri Light"/>
                <w:sz w:val="15"/>
                <w:szCs w:val="15"/>
              </w:rPr>
              <w:t xml:space="preserve">Adam Jones, Andrew Weinberg, Andy Tomaszewski, Ashlee Haviland, </w:t>
            </w:r>
            <w:proofErr w:type="spellStart"/>
            <w:r w:rsidRPr="00077524">
              <w:rPr>
                <w:rStyle w:val="style51"/>
                <w:rFonts w:ascii="Calibri Light" w:hAnsi="Calibri Light" w:cs="Calibri Light"/>
                <w:sz w:val="15"/>
                <w:szCs w:val="15"/>
              </w:rPr>
              <w:t>BreAnne</w:t>
            </w:r>
            <w:proofErr w:type="spellEnd"/>
            <w:r w:rsidRPr="00077524">
              <w:rPr>
                <w:rStyle w:val="style51"/>
                <w:rFonts w:ascii="Calibri Light" w:hAnsi="Calibri Light" w:cs="Calibri Light"/>
                <w:sz w:val="15"/>
                <w:szCs w:val="15"/>
              </w:rPr>
              <w:t xml:space="preserve"> Grabill, Cameron Wright, Casey Shoaff, Colton </w:t>
            </w:r>
            <w:proofErr w:type="spellStart"/>
            <w:r w:rsidRPr="00077524">
              <w:rPr>
                <w:rStyle w:val="style51"/>
                <w:rFonts w:ascii="Calibri Light" w:hAnsi="Calibri Light" w:cs="Calibri Light"/>
                <w:sz w:val="15"/>
                <w:szCs w:val="15"/>
              </w:rPr>
              <w:t>Risner</w:t>
            </w:r>
            <w:proofErr w:type="spellEnd"/>
            <w:r w:rsidRPr="00077524">
              <w:rPr>
                <w:rStyle w:val="style51"/>
                <w:rFonts w:ascii="Calibri Light" w:hAnsi="Calibri Light" w:cs="Calibri Light"/>
                <w:sz w:val="15"/>
                <w:szCs w:val="15"/>
              </w:rPr>
              <w:t xml:space="preserve">, Cory </w:t>
            </w:r>
            <w:proofErr w:type="spellStart"/>
            <w:r w:rsidRPr="00077524">
              <w:rPr>
                <w:rStyle w:val="style51"/>
                <w:rFonts w:ascii="Calibri Light" w:hAnsi="Calibri Light" w:cs="Calibri Light"/>
                <w:sz w:val="15"/>
                <w:szCs w:val="15"/>
              </w:rPr>
              <w:t>Robinett</w:t>
            </w:r>
            <w:proofErr w:type="spellEnd"/>
            <w:r w:rsidRPr="00077524">
              <w:rPr>
                <w:rStyle w:val="style51"/>
                <w:rFonts w:ascii="Calibri Light" w:hAnsi="Calibri Light" w:cs="Calibri Light"/>
                <w:sz w:val="15"/>
                <w:szCs w:val="15"/>
              </w:rPr>
              <w:t>, Daulton Higgins, Dustin Grabill, Dylan Broekstra, Elijah Quinn, Eric Reed, Ethan Ford,</w:t>
            </w:r>
            <w:r w:rsidRPr="00077524">
              <w:rPr>
                <w:rStyle w:val="style51"/>
                <w:rFonts w:ascii="Calibri Light" w:hAnsi="Calibri Light" w:cs="Calibri Light"/>
                <w:sz w:val="15"/>
                <w:szCs w:val="15"/>
              </w:rPr>
              <w:t xml:space="preserve"> Garrett Johnson, Hailey </w:t>
            </w:r>
            <w:proofErr w:type="spellStart"/>
            <w:r w:rsidRPr="00077524">
              <w:rPr>
                <w:rStyle w:val="style51"/>
                <w:rFonts w:ascii="Calibri Light" w:hAnsi="Calibri Light" w:cs="Calibri Light"/>
                <w:sz w:val="15"/>
                <w:szCs w:val="15"/>
              </w:rPr>
              <w:t>Birchmeier</w:t>
            </w:r>
            <w:proofErr w:type="spellEnd"/>
            <w:r w:rsidRPr="00077524">
              <w:rPr>
                <w:rStyle w:val="style51"/>
                <w:rFonts w:ascii="Calibri Light" w:hAnsi="Calibri Light" w:cs="Calibri Light"/>
                <w:sz w:val="15"/>
                <w:szCs w:val="15"/>
              </w:rPr>
              <w:t xml:space="preserve">, Hannah Cornell, Holden Elsner, Jaimee Desjardins, Jake Hunt, James Scherer, Jason Broekstra, Jeff Fischer, Jeff Tolan, Keith terHorst, Kyle Heath, Landon Conroy, Lucas </w:t>
            </w:r>
            <w:proofErr w:type="spellStart"/>
            <w:r w:rsidRPr="00077524">
              <w:rPr>
                <w:rStyle w:val="style51"/>
                <w:rFonts w:ascii="Calibri Light" w:hAnsi="Calibri Light" w:cs="Calibri Light"/>
                <w:sz w:val="15"/>
                <w:szCs w:val="15"/>
              </w:rPr>
              <w:t>Slagel</w:t>
            </w:r>
            <w:proofErr w:type="spellEnd"/>
            <w:r w:rsidRPr="00077524">
              <w:rPr>
                <w:rStyle w:val="style51"/>
                <w:rFonts w:ascii="Calibri Light" w:hAnsi="Calibri Light" w:cs="Calibri Light"/>
                <w:sz w:val="15"/>
                <w:szCs w:val="15"/>
              </w:rPr>
              <w:t>, Michael Pichla, Nathaniel Draper, Noah Hans</w:t>
            </w:r>
            <w:r w:rsidRPr="00077524">
              <w:rPr>
                <w:rStyle w:val="style51"/>
                <w:rFonts w:ascii="Calibri Light" w:hAnsi="Calibri Light" w:cs="Calibri Light"/>
                <w:sz w:val="15"/>
                <w:szCs w:val="15"/>
              </w:rPr>
              <w:t xml:space="preserve">on, Pierce Johnson, Preston </w:t>
            </w:r>
            <w:proofErr w:type="spellStart"/>
            <w:r w:rsidRPr="00077524">
              <w:rPr>
                <w:rStyle w:val="style51"/>
                <w:rFonts w:ascii="Calibri Light" w:hAnsi="Calibri Light" w:cs="Calibri Light"/>
                <w:sz w:val="15"/>
                <w:szCs w:val="15"/>
              </w:rPr>
              <w:t>Adgate</w:t>
            </w:r>
            <w:proofErr w:type="spellEnd"/>
            <w:r w:rsidRPr="00077524">
              <w:rPr>
                <w:rStyle w:val="style51"/>
                <w:rFonts w:ascii="Calibri Light" w:hAnsi="Calibri Light" w:cs="Calibri Light"/>
                <w:sz w:val="15"/>
                <w:szCs w:val="15"/>
              </w:rPr>
              <w:t xml:space="preserve">, Preston Wallace, </w:t>
            </w:r>
            <w:proofErr w:type="spellStart"/>
            <w:r w:rsidRPr="00077524">
              <w:rPr>
                <w:rStyle w:val="style51"/>
                <w:rFonts w:ascii="Calibri Light" w:hAnsi="Calibri Light" w:cs="Calibri Light"/>
                <w:sz w:val="15"/>
                <w:szCs w:val="15"/>
              </w:rPr>
              <w:t>Raquelle</w:t>
            </w:r>
            <w:proofErr w:type="spellEnd"/>
            <w:r w:rsidRPr="00077524">
              <w:rPr>
                <w:rStyle w:val="style51"/>
                <w:rFonts w:ascii="Calibri Light" w:hAnsi="Calibri Light" w:cs="Calibri Light"/>
                <w:sz w:val="15"/>
                <w:szCs w:val="15"/>
              </w:rPr>
              <w:t xml:space="preserve"> Shaw, Samuel Bailey, Steve Hanson, William Conklin, William Ducham </w:t>
            </w:r>
          </w:p>
        </w:tc>
      </w:tr>
      <w:tr w:rsidR="00000000" w:rsidRPr="00077524">
        <w:trPr>
          <w:gridAfter w:val="1"/>
          <w:wAfter w:w="2383" w:type="pct"/>
          <w:tblCellSpacing w:w="15" w:type="dxa"/>
        </w:trPr>
        <w:tc>
          <w:tcPr>
            <w:tcW w:w="2437" w:type="pct"/>
            <w:tcMar>
              <w:top w:w="15" w:type="dxa"/>
              <w:left w:w="15" w:type="dxa"/>
              <w:bottom w:w="15" w:type="dxa"/>
              <w:right w:w="15" w:type="dxa"/>
            </w:tcMar>
            <w:vAlign w:val="center"/>
            <w:hideMark/>
          </w:tcPr>
          <w:p w:rsidR="00000000" w:rsidRPr="00077524" w:rsidRDefault="00C4412D">
            <w:pPr>
              <w:rPr>
                <w:sz w:val="15"/>
                <w:szCs w:val="15"/>
              </w:rPr>
            </w:pPr>
          </w:p>
        </w:tc>
        <w:tc>
          <w:tcPr>
            <w:tcW w:w="128" w:type="pct"/>
            <w:vAlign w:val="center"/>
            <w:hideMark/>
          </w:tcPr>
          <w:p w:rsidR="00000000" w:rsidRPr="00077524" w:rsidRDefault="00C4412D">
            <w:pPr>
              <w:spacing w:after="0" w:line="240" w:lineRule="auto"/>
              <w:rPr>
                <w:rFonts w:cs="Calibri"/>
                <w:sz w:val="15"/>
                <w:szCs w:val="15"/>
              </w:rPr>
            </w:pPr>
          </w:p>
        </w:tc>
      </w:tr>
    </w:tbl>
    <w:p w:rsidR="00C4412D" w:rsidRPr="00077524" w:rsidRDefault="00C4412D">
      <w:pPr>
        <w:spacing w:after="0" w:line="240" w:lineRule="auto"/>
        <w:rPr>
          <w:sz w:val="15"/>
          <w:szCs w:val="15"/>
        </w:rPr>
      </w:pPr>
      <w:r w:rsidRPr="00077524">
        <w:rPr>
          <w:sz w:val="15"/>
          <w:szCs w:val="15"/>
        </w:rPr>
        <w:lastRenderedPageBreak/>
        <w:t> </w:t>
      </w:r>
    </w:p>
    <w:sectPr w:rsidR="00C4412D" w:rsidRPr="00077524">
      <w:footerReference w:type="first" r:id="rId8"/>
      <w:pgSz w:w="12240" w:h="15840"/>
      <w:pgMar w:top="245" w:right="360" w:bottom="245" w:left="36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12D" w:rsidRDefault="00C4412D">
      <w:pPr>
        <w:spacing w:after="0" w:line="240" w:lineRule="auto"/>
      </w:pPr>
      <w:r>
        <w:separator/>
      </w:r>
    </w:p>
  </w:endnote>
  <w:endnote w:type="continuationSeparator" w:id="0">
    <w:p w:rsidR="00C4412D" w:rsidRDefault="00C4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Open Sans SemiBold">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C4412D">
    <w:pPr>
      <w:pStyle w:val="Footer"/>
      <w:rPr>
        <w:rFonts w:ascii="Calibri Light" w:hAnsi="Calibri Light" w:cs="Calibri Light"/>
        <w:sz w:val="16"/>
        <w:szCs w:val="16"/>
      </w:rPr>
    </w:pPr>
    <w:r>
      <w:rPr>
        <w:rFonts w:ascii="Calibri Light" w:hAnsi="Calibri Light" w:cs="Calibri Light"/>
        <w:b/>
        <w:sz w:val="16"/>
        <w:szCs w:val="16"/>
      </w:rPr>
      <w:t>Permit Information</w:t>
    </w:r>
    <w:r>
      <w:rPr>
        <w:rFonts w:ascii="Calibri Light" w:hAnsi="Calibri Light" w:cs="Calibri Light"/>
        <w:sz w:val="16"/>
        <w:szCs w:val="16"/>
      </w:rPr>
      <w:t xml:space="preserve"> EGLE, PO Box 30273, Lansing, MI 48909-7773 EGLE-WRD-ANC@michigan.gov</w:t>
    </w:r>
  </w:p>
  <w:p w:rsidR="00000000" w:rsidRDefault="00C44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12D" w:rsidRDefault="00C4412D">
      <w:pPr>
        <w:spacing w:after="0" w:line="240" w:lineRule="auto"/>
      </w:pPr>
      <w:r>
        <w:separator/>
      </w:r>
    </w:p>
  </w:footnote>
  <w:footnote w:type="continuationSeparator" w:id="0">
    <w:p w:rsidR="00C4412D" w:rsidRDefault="00C44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24"/>
    <w:rsid w:val="00077524"/>
    <w:rsid w:val="00C44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B1C9A"/>
  <w15:chartTrackingRefBased/>
  <w15:docId w15:val="{3A18F109-5D59-47A0-BADD-09F896DE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cs="Times New Roman"/>
      <w:sz w:val="18"/>
      <w:szCs w:val="18"/>
    </w:rPr>
  </w:style>
  <w:style w:type="paragraph" w:styleId="Heading8">
    <w:name w:val="heading 8"/>
    <w:basedOn w:val="Normal"/>
    <w:next w:val="Normal"/>
    <w:link w:val="Heading8Char"/>
    <w:uiPriority w:val="99"/>
    <w:semiHidden/>
    <w:unhideWhenUsed/>
    <w:qFormat/>
    <w:pPr>
      <w:keepNext/>
      <w:widowControl w:val="0"/>
      <w:autoSpaceDE w:val="0"/>
      <w:autoSpaceDN w:val="0"/>
      <w:adjustRightInd w:val="0"/>
      <w:spacing w:after="0" w:line="240" w:lineRule="auto"/>
      <w:outlineLvl w:val="7"/>
    </w:pPr>
    <w:rPr>
      <w:rFonts w:ascii="Times New Roman" w:eastAsia="Times New Roman" w:hAnsi="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line="240" w:lineRule="auto"/>
    </w:pPr>
    <w:rPr>
      <w:rFonts w:ascii="Times New Roman" w:eastAsiaTheme="minorEastAsia" w:hAnsi="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sz w:val="24"/>
      <w:szCs w:val="24"/>
    </w:rPr>
  </w:style>
  <w:style w:type="character" w:customStyle="1" w:styleId="Heading8Char">
    <w:name w:val="Heading 8 Char"/>
    <w:basedOn w:val="DefaultParagraphFont"/>
    <w:link w:val="Heading8"/>
    <w:uiPriority w:val="99"/>
    <w:semiHidden/>
    <w:locked/>
    <w:rPr>
      <w:rFonts w:ascii="Times New Roman" w:eastAsia="Times New Roman" w:hAnsi="Times New Roman" w:cs="Times New Roman" w:hint="default"/>
      <w:b/>
      <w:bCs/>
      <w:sz w:val="19"/>
      <w:szCs w:val="19"/>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Pr>
      <w:rFonts w:ascii="Times New Roman" w:hAnsi="Times New Roman" w:cs="Times New Roman" w:hint="default"/>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ascii="Times New Roman" w:hAnsi="Times New Roman" w:cs="Times New Roman" w:hint="default"/>
      <w:sz w:val="18"/>
      <w:szCs w:val="1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customStyle="1" w:styleId="msonormal2">
    <w:name w:val="msonormal2"/>
    <w:uiPriority w:val="99"/>
    <w:semiHidden/>
    <w:qFormat/>
    <w:pPr>
      <w:spacing w:after="200" w:line="276" w:lineRule="auto"/>
    </w:pPr>
    <w:rPr>
      <w:rFonts w:cs="Times New Roman"/>
      <w:sz w:val="16"/>
      <w:szCs w:val="16"/>
    </w:rPr>
  </w:style>
  <w:style w:type="paragraph" w:customStyle="1" w:styleId="style2">
    <w:name w:val="style2"/>
    <w:basedOn w:val="Normal"/>
    <w:uiPriority w:val="99"/>
    <w:semiHidden/>
    <w:pPr>
      <w:spacing w:before="100" w:beforeAutospacing="1" w:after="100" w:afterAutospacing="1" w:line="240" w:lineRule="auto"/>
    </w:pPr>
    <w:rPr>
      <w:rFonts w:ascii="Times New Roman" w:eastAsiaTheme="minorEastAsia" w:hAnsi="Times New Roman"/>
      <w:sz w:val="24"/>
      <w:szCs w:val="24"/>
    </w:rPr>
  </w:style>
  <w:style w:type="paragraph" w:customStyle="1" w:styleId="style3">
    <w:name w:val="style3"/>
    <w:basedOn w:val="Normal"/>
    <w:uiPriority w:val="99"/>
    <w:semiHidden/>
    <w:pPr>
      <w:spacing w:before="100" w:beforeAutospacing="1" w:after="100" w:afterAutospacing="1" w:line="240" w:lineRule="auto"/>
    </w:pPr>
    <w:rPr>
      <w:rFonts w:ascii="Arial" w:eastAsiaTheme="minorEastAsia" w:hAnsi="Arial" w:cs="Arial"/>
      <w:sz w:val="20"/>
      <w:szCs w:val="20"/>
      <w:u w:val="single"/>
    </w:rPr>
  </w:style>
  <w:style w:type="paragraph" w:customStyle="1" w:styleId="style4">
    <w:name w:val="style4"/>
    <w:basedOn w:val="Normal"/>
    <w:uiPriority w:val="99"/>
    <w:semiHidden/>
    <w:pPr>
      <w:spacing w:before="100" w:beforeAutospacing="1" w:after="100" w:afterAutospacing="1" w:line="240" w:lineRule="auto"/>
    </w:pPr>
    <w:rPr>
      <w:rFonts w:ascii="Arial" w:eastAsiaTheme="minorEastAsia" w:hAnsi="Arial" w:cs="Arial"/>
      <w:sz w:val="20"/>
      <w:szCs w:val="20"/>
    </w:rPr>
  </w:style>
  <w:style w:type="paragraph" w:customStyle="1" w:styleId="style5">
    <w:name w:val="style5"/>
    <w:basedOn w:val="Normal"/>
    <w:uiPriority w:val="99"/>
    <w:semiHidden/>
    <w:pPr>
      <w:spacing w:before="100" w:beforeAutospacing="1" w:after="100" w:afterAutospacing="1" w:line="240" w:lineRule="auto"/>
    </w:pPr>
    <w:rPr>
      <w:rFonts w:ascii="Times New Roman" w:eastAsiaTheme="minorEastAsia" w:hAnsi="Times New Roman"/>
    </w:rPr>
  </w:style>
  <w:style w:type="paragraph" w:customStyle="1" w:styleId="style1">
    <w:name w:val="style1"/>
    <w:basedOn w:val="Normal"/>
    <w:uiPriority w:val="99"/>
    <w:semiHidden/>
    <w:pPr>
      <w:spacing w:before="100" w:beforeAutospacing="1" w:after="100" w:afterAutospacing="1" w:line="240" w:lineRule="auto"/>
    </w:pPr>
    <w:rPr>
      <w:rFonts w:ascii="Times New Roman" w:eastAsiaTheme="minorEastAsia" w:hAnsi="Times New Roman"/>
      <w:sz w:val="24"/>
      <w:szCs w:val="24"/>
      <w:u w:val="single"/>
    </w:rPr>
  </w:style>
  <w:style w:type="character" w:customStyle="1" w:styleId="style41">
    <w:name w:val="style41"/>
    <w:basedOn w:val="DefaultParagraphFont"/>
    <w:rPr>
      <w:rFonts w:ascii="Arial" w:hAnsi="Arial" w:cs="Arial" w:hint="default"/>
      <w:sz w:val="20"/>
      <w:szCs w:val="20"/>
    </w:rPr>
  </w:style>
  <w:style w:type="character" w:customStyle="1" w:styleId="style31">
    <w:name w:val="style31"/>
    <w:basedOn w:val="DefaultParagraphFont"/>
    <w:rPr>
      <w:rFonts w:ascii="Arial" w:hAnsi="Arial" w:cs="Arial" w:hint="default"/>
      <w:sz w:val="20"/>
      <w:szCs w:val="20"/>
      <w:u w:val="single"/>
    </w:rPr>
  </w:style>
  <w:style w:type="character" w:customStyle="1" w:styleId="style51">
    <w:name w:val="style51"/>
    <w:basedOn w:val="DefaultParagraphFont"/>
    <w:rPr>
      <w:sz w:val="18"/>
      <w:szCs w:val="18"/>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5246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PLM</dc:creator>
  <cp:keywords/>
  <dc:description/>
  <cp:lastModifiedBy>Andy Tomaszewski</cp:lastModifiedBy>
  <cp:revision>2</cp:revision>
  <dcterms:created xsi:type="dcterms:W3CDTF">2026-03-25T15:49:00Z</dcterms:created>
  <dcterms:modified xsi:type="dcterms:W3CDTF">2026-03-25T15:49:00Z</dcterms:modified>
</cp:coreProperties>
</file>